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6F5F" w14:textId="77777777" w:rsidR="002427D3" w:rsidRDefault="002427D3" w:rsidP="00990488">
      <w:pPr>
        <w:spacing w:line="380" w:lineRule="exact"/>
        <w:rPr>
          <w:rFonts w:ascii="游ゴシック" w:eastAsia="游ゴシック" w:hAnsi="游ゴシック" w:hint="eastAsia"/>
          <w:sz w:val="24"/>
          <w:szCs w:val="24"/>
        </w:rPr>
      </w:pPr>
    </w:p>
    <w:p w14:paraId="411E6C0C"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 xml:space="preserve">　　　　　　　　　　　　　　　　　　　　　　　　　　　　　　　　　</w:t>
      </w:r>
      <w:r>
        <w:rPr>
          <w:rFonts w:ascii="游ゴシック" w:eastAsia="游ゴシック" w:hAnsi="游ゴシック"/>
          <w:sz w:val="24"/>
          <w:szCs w:val="24"/>
        </w:rPr>
        <w:t>○○</w:t>
      </w:r>
      <w:r>
        <w:rPr>
          <w:rFonts w:ascii="游ゴシック" w:eastAsia="游ゴシック" w:hAnsi="游ゴシック"/>
          <w:sz w:val="24"/>
          <w:szCs w:val="24"/>
        </w:rPr>
        <w:t>年</w:t>
      </w:r>
      <w:r>
        <w:rPr>
          <w:rFonts w:ascii="游ゴシック" w:eastAsia="游ゴシック" w:hAnsi="游ゴシック"/>
          <w:sz w:val="24"/>
          <w:szCs w:val="24"/>
        </w:rPr>
        <w:t>○</w:t>
      </w:r>
      <w:r>
        <w:rPr>
          <w:rFonts w:ascii="游ゴシック" w:eastAsia="游ゴシック" w:hAnsi="游ゴシック"/>
          <w:sz w:val="24"/>
          <w:szCs w:val="24"/>
        </w:rPr>
        <w:t>月</w:t>
      </w:r>
      <w:r>
        <w:rPr>
          <w:rFonts w:ascii="游ゴシック" w:eastAsia="游ゴシック" w:hAnsi="游ゴシック"/>
          <w:sz w:val="24"/>
          <w:szCs w:val="24"/>
        </w:rPr>
        <w:t>○</w:t>
      </w:r>
      <w:r>
        <w:rPr>
          <w:rFonts w:ascii="游ゴシック" w:eastAsia="游ゴシック" w:hAnsi="游ゴシック"/>
          <w:sz w:val="24"/>
          <w:szCs w:val="24"/>
        </w:rPr>
        <w:t>日</w:t>
      </w:r>
    </w:p>
    <w:p w14:paraId="4723EEB6" w14:textId="77777777" w:rsidR="002427D3" w:rsidRDefault="002427D3">
      <w:pPr>
        <w:spacing w:line="380" w:lineRule="exact"/>
        <w:ind w:left="463" w:hanging="463"/>
        <w:rPr>
          <w:rFonts w:ascii="游ゴシック" w:eastAsia="游ゴシック" w:hAnsi="游ゴシック"/>
          <w:sz w:val="24"/>
          <w:szCs w:val="24"/>
        </w:rPr>
      </w:pPr>
    </w:p>
    <w:p w14:paraId="48899A9A"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（宛先）</w:t>
      </w:r>
    </w:p>
    <w:p w14:paraId="61FCE1A8" w14:textId="17655787" w:rsidR="002427D3" w:rsidRDefault="00990488">
      <w:pPr>
        <w:spacing w:line="380" w:lineRule="exact"/>
        <w:ind w:left="463" w:hanging="463"/>
        <w:rPr>
          <w:rFonts w:ascii="游ゴシック" w:eastAsia="游ゴシック" w:hAnsi="游ゴシック"/>
          <w:sz w:val="24"/>
          <w:szCs w:val="24"/>
        </w:rPr>
      </w:pPr>
      <w:r>
        <w:rPr>
          <w:rFonts w:ascii="游ゴシック" w:eastAsia="游ゴシック" w:hAnsi="游ゴシック" w:hint="eastAsia"/>
          <w:sz w:val="24"/>
          <w:szCs w:val="24"/>
        </w:rPr>
        <w:t>滋賀県</w:t>
      </w:r>
      <w:r w:rsidR="0020547B">
        <w:rPr>
          <w:rFonts w:ascii="游ゴシック" w:eastAsia="游ゴシック" w:hAnsi="游ゴシック"/>
          <w:sz w:val="24"/>
          <w:szCs w:val="24"/>
        </w:rPr>
        <w:t xml:space="preserve">教育委員会　</w:t>
      </w:r>
    </w:p>
    <w:p w14:paraId="3D69D075" w14:textId="77777777" w:rsidR="002427D3" w:rsidRDefault="002427D3">
      <w:pPr>
        <w:spacing w:line="380" w:lineRule="exact"/>
        <w:ind w:left="463" w:hanging="463"/>
        <w:rPr>
          <w:rFonts w:ascii="游ゴシック" w:eastAsia="游ゴシック" w:hAnsi="游ゴシック"/>
          <w:sz w:val="24"/>
          <w:szCs w:val="24"/>
        </w:rPr>
      </w:pPr>
    </w:p>
    <w:p w14:paraId="1F6EFDF6"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 xml:space="preserve">　　　　　　　　　　　　　　　　　　　　　　設置者名称</w:t>
      </w:r>
    </w:p>
    <w:p w14:paraId="00117799"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 xml:space="preserve">　　　　　　　　　　　　　　　　　　　　　　設置者所在地</w:t>
      </w:r>
    </w:p>
    <w:p w14:paraId="3925E905"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 xml:space="preserve">　　　　　　　　　　　　　　　　　　　　　　代表者</w:t>
      </w:r>
      <w:r>
        <w:rPr>
          <w:rFonts w:ascii="游ゴシック" w:eastAsia="游ゴシック" w:hAnsi="游ゴシック"/>
          <w:sz w:val="24"/>
          <w:szCs w:val="24"/>
        </w:rPr>
        <w:t xml:space="preserve"> </w:t>
      </w:r>
      <w:r>
        <w:rPr>
          <w:rFonts w:ascii="游ゴシック" w:eastAsia="游ゴシック" w:hAnsi="游ゴシック"/>
          <w:sz w:val="24"/>
          <w:szCs w:val="24"/>
        </w:rPr>
        <w:t>職・氏名</w:t>
      </w:r>
    </w:p>
    <w:p w14:paraId="7E6946BF" w14:textId="77777777" w:rsidR="002427D3" w:rsidRDefault="002427D3">
      <w:pPr>
        <w:spacing w:line="380" w:lineRule="exact"/>
        <w:ind w:left="463" w:hanging="463"/>
        <w:rPr>
          <w:rFonts w:ascii="游ゴシック" w:eastAsia="游ゴシック" w:hAnsi="游ゴシック"/>
          <w:sz w:val="24"/>
          <w:szCs w:val="24"/>
        </w:rPr>
      </w:pPr>
    </w:p>
    <w:p w14:paraId="27CC0460" w14:textId="77777777" w:rsidR="002427D3" w:rsidRDefault="002427D3">
      <w:pPr>
        <w:spacing w:line="380" w:lineRule="exact"/>
        <w:ind w:left="463" w:hanging="463"/>
        <w:rPr>
          <w:rFonts w:ascii="游ゴシック" w:eastAsia="游ゴシック" w:hAnsi="游ゴシック"/>
          <w:sz w:val="24"/>
          <w:szCs w:val="24"/>
        </w:rPr>
      </w:pPr>
    </w:p>
    <w:p w14:paraId="58D09B6F" w14:textId="77777777" w:rsidR="002427D3" w:rsidRDefault="0020547B">
      <w:pPr>
        <w:spacing w:line="380" w:lineRule="exact"/>
        <w:ind w:left="540" w:hanging="540"/>
        <w:jc w:val="center"/>
        <w:rPr>
          <w:rFonts w:ascii="游ゴシック" w:eastAsia="游ゴシック" w:hAnsi="游ゴシック"/>
          <w:sz w:val="28"/>
          <w:szCs w:val="28"/>
        </w:rPr>
      </w:pPr>
      <w:r>
        <w:rPr>
          <w:rFonts w:ascii="游ゴシック" w:eastAsia="游ゴシック" w:hAnsi="游ゴシック"/>
          <w:sz w:val="28"/>
          <w:szCs w:val="28"/>
        </w:rPr>
        <w:t>宣　誓　書</w:t>
      </w:r>
    </w:p>
    <w:p w14:paraId="55E7D2E1" w14:textId="77777777" w:rsidR="002427D3" w:rsidRDefault="002427D3">
      <w:pPr>
        <w:spacing w:line="380" w:lineRule="exact"/>
        <w:ind w:left="463" w:hanging="463"/>
        <w:rPr>
          <w:rFonts w:ascii="游ゴシック" w:eastAsia="游ゴシック" w:hAnsi="游ゴシック"/>
          <w:sz w:val="24"/>
          <w:szCs w:val="24"/>
        </w:rPr>
      </w:pPr>
    </w:p>
    <w:p w14:paraId="3991EE9C" w14:textId="77777777" w:rsidR="002427D3" w:rsidRDefault="002427D3">
      <w:pPr>
        <w:spacing w:line="380" w:lineRule="exact"/>
        <w:ind w:left="463" w:hanging="463"/>
        <w:rPr>
          <w:rFonts w:ascii="游ゴシック" w:eastAsia="游ゴシック" w:hAnsi="游ゴシック"/>
          <w:sz w:val="24"/>
          <w:szCs w:val="24"/>
        </w:rPr>
      </w:pPr>
    </w:p>
    <w:p w14:paraId="2E7BAD97" w14:textId="77777777" w:rsidR="002427D3" w:rsidRDefault="0020547B">
      <w:pPr>
        <w:spacing w:line="380" w:lineRule="exact"/>
        <w:ind w:left="252" w:hanging="252"/>
        <w:rPr>
          <w:rFonts w:ascii="游ゴシック" w:eastAsia="游ゴシック" w:hAnsi="游ゴシック"/>
          <w:sz w:val="24"/>
          <w:szCs w:val="24"/>
        </w:rPr>
      </w:pPr>
      <w:r>
        <w:rPr>
          <w:rFonts w:ascii="游ゴシック" w:eastAsia="游ゴシック" w:hAnsi="游ゴシック"/>
          <w:sz w:val="24"/>
          <w:szCs w:val="24"/>
        </w:rPr>
        <w:t xml:space="preserve">　　博物館法（昭和２６年法律第２８５号）第１２条の規定に基づく申請に当たり、当法人が以下のいずれにも該当しないことを宣誓します。</w:t>
      </w:r>
    </w:p>
    <w:p w14:paraId="59BF484E" w14:textId="77777777" w:rsidR="002427D3" w:rsidRDefault="002427D3">
      <w:pPr>
        <w:spacing w:line="380" w:lineRule="exact"/>
        <w:ind w:left="463" w:hanging="463"/>
        <w:rPr>
          <w:rFonts w:ascii="游ゴシック" w:eastAsia="游ゴシック" w:hAnsi="游ゴシック"/>
          <w:sz w:val="24"/>
          <w:szCs w:val="24"/>
        </w:rPr>
      </w:pPr>
    </w:p>
    <w:p w14:paraId="1A45B8FF"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（１）会社更生法（平成１４年法律第１５４号）に基づく更生手続開始の申立て又は民事再生法（平成１１年法律第２２５号）に基づく再生手続開始の申立てがなされている法人</w:t>
      </w:r>
    </w:p>
    <w:p w14:paraId="7FD6CE3F"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（２）法人税、法人都道府県民税、法人事業税、消費税又は地方消費税等納付すべき税金を滞納している法人</w:t>
      </w:r>
    </w:p>
    <w:p w14:paraId="6EB34F41"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（３）暴力団（暴力団員による不当な行為の防止等に関する法律（平成３年法律第７７号）第２条第２号に規定する暴力団をいう。</w:t>
      </w:r>
      <w:r>
        <w:rPr>
          <w:rFonts w:ascii="游ゴシック" w:eastAsia="游ゴシック" w:hAnsi="游ゴシック"/>
          <w:sz w:val="24"/>
          <w:szCs w:val="24"/>
        </w:rPr>
        <w:t>）、暴力団関係企業、総会屋又はこれらに準ずる者（以下「反社会的勢力」という。）</w:t>
      </w:r>
    </w:p>
    <w:p w14:paraId="6FF460EE"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４）反社会的勢力若しくはその構成員（反社会的勢力の構成団体の構成員を含む。）又は暴力団の構成員でなくなった日から５年を経過しない者（以下「反社会的勢力の構成員等」という。）の統制下にある法人</w:t>
      </w:r>
    </w:p>
    <w:p w14:paraId="0D376F18"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（５）法人の代表者、役員（非常勤を含む。）又は経営に事実上参加している者が反社会的勢力の構成員等である法人</w:t>
      </w:r>
    </w:p>
    <w:p w14:paraId="22AD9D19" w14:textId="77777777" w:rsidR="002427D3" w:rsidRDefault="0020547B">
      <w:pPr>
        <w:spacing w:line="380" w:lineRule="exact"/>
        <w:ind w:left="463" w:hanging="463"/>
        <w:rPr>
          <w:rFonts w:ascii="游ゴシック" w:eastAsia="游ゴシック" w:hAnsi="游ゴシック"/>
          <w:sz w:val="24"/>
          <w:szCs w:val="24"/>
        </w:rPr>
      </w:pPr>
      <w:r>
        <w:rPr>
          <w:rFonts w:ascii="游ゴシック" w:eastAsia="游ゴシック" w:hAnsi="游ゴシック"/>
          <w:sz w:val="24"/>
          <w:szCs w:val="24"/>
        </w:rPr>
        <w:t>（６）反社会的勢力の構成員等と社会的に非難されるべき関係性を有する法人</w:t>
      </w:r>
    </w:p>
    <w:p w14:paraId="79709674" w14:textId="77777777" w:rsidR="002427D3" w:rsidRDefault="0020547B">
      <w:pPr>
        <w:spacing w:line="380" w:lineRule="exact"/>
        <w:ind w:left="718" w:hanging="718"/>
        <w:rPr>
          <w:rFonts w:ascii="游ゴシック" w:eastAsia="游ゴシック" w:hAnsi="游ゴシック"/>
          <w:sz w:val="24"/>
          <w:szCs w:val="24"/>
          <w:shd w:val="pct15" w:color="auto" w:fill="FFFFFF"/>
        </w:rPr>
      </w:pPr>
      <w:r>
        <w:rPr>
          <w:rFonts w:ascii="游ゴシック" w:eastAsia="游ゴシック" w:hAnsi="游ゴシック"/>
          <w:sz w:val="24"/>
          <w:szCs w:val="24"/>
          <w:shd w:val="pct15" w:color="auto" w:fill="FFFFFF"/>
        </w:rPr>
        <w:t>（７）設置者が博物館法第１９条第１項の規定により登録を取り消され、その取消しの日から２年を経過しない者である法人</w:t>
      </w:r>
    </w:p>
    <w:p w14:paraId="6F48E031" w14:textId="77777777" w:rsidR="002427D3" w:rsidRDefault="0020547B">
      <w:pPr>
        <w:widowControl/>
        <w:jc w:val="left"/>
        <w:rPr>
          <w:rFonts w:ascii="游ゴシック" w:eastAsia="游ゴシック" w:hAnsi="游ゴシック"/>
          <w:sz w:val="24"/>
          <w:szCs w:val="24"/>
        </w:rPr>
      </w:pPr>
      <w:r>
        <w:rPr>
          <w:noProof/>
        </w:rPr>
        <mc:AlternateContent>
          <mc:Choice Requires="wps">
            <w:drawing>
              <wp:anchor distT="209550" distB="20320" distL="19050" distR="15240" simplePos="0" relativeHeight="2" behindDoc="0" locked="0" layoutInCell="0" allowOverlap="1" wp14:anchorId="59CDA1F9" wp14:editId="40CBB622">
                <wp:simplePos x="0" y="0"/>
                <wp:positionH relativeFrom="column">
                  <wp:posOffset>762000</wp:posOffset>
                </wp:positionH>
                <wp:positionV relativeFrom="paragraph">
                  <wp:posOffset>228600</wp:posOffset>
                </wp:positionV>
                <wp:extent cx="5394960" cy="951230"/>
                <wp:effectExtent l="15240" t="196850" r="15240" b="15240"/>
                <wp:wrapNone/>
                <wp:docPr id="1" name="角丸四角形吹き出し 2"/>
                <wp:cNvGraphicFramePr/>
                <a:graphic xmlns:a="http://schemas.openxmlformats.org/drawingml/2006/main">
                  <a:graphicData uri="http://schemas.microsoft.com/office/word/2010/wordprocessingShape">
                    <wps:wsp>
                      <wps:cNvSpPr/>
                      <wps:spPr>
                        <a:xfrm>
                          <a:off x="0" y="0"/>
                          <a:ext cx="5394960" cy="951120"/>
                        </a:xfrm>
                        <a:prstGeom prst="wedgeRoundRectCallout">
                          <a:avLst>
                            <a:gd name="adj1" fmla="val -3403"/>
                            <a:gd name="adj2" fmla="val -68521"/>
                            <a:gd name="adj3" fmla="val 16667"/>
                          </a:avLst>
                        </a:prstGeom>
                        <a:solidFill>
                          <a:srgbClr val="FFFFFF"/>
                        </a:solidFill>
                        <a:ln w="28575">
                          <a:solidFill>
                            <a:srgbClr val="ED7D31"/>
                          </a:solidFill>
                        </a:ln>
                      </wps:spPr>
                      <wps:style>
                        <a:lnRef idx="2">
                          <a:schemeClr val="accent2"/>
                        </a:lnRef>
                        <a:fillRef idx="1">
                          <a:schemeClr val="lt1"/>
                        </a:fillRef>
                        <a:effectRef idx="0">
                          <a:schemeClr val="accent2"/>
                        </a:effectRef>
                        <a:fontRef idx="minor"/>
                      </wps:style>
                      <wps:txbx>
                        <w:txbxContent>
                          <w:p w14:paraId="2827A624" w14:textId="77777777" w:rsidR="002427D3" w:rsidRDefault="0020547B">
                            <w:pPr>
                              <w:pStyle w:val="af"/>
                              <w:jc w:val="left"/>
                              <w:rPr>
                                <w:color w:val="000000"/>
                              </w:rPr>
                            </w:pPr>
                            <w:r>
                              <w:rPr>
                                <w:color w:val="000000"/>
                              </w:rPr>
                              <w:t>【注意】新規登録を御希望の私立館のみ、（１）～（７）の項目全てについて宣誓してください。再審査登録を御希望の館につきましては、（７）を削除いただき、（１）～（６）の事項について宣誓をお願いします。</w:t>
                            </w:r>
                          </w:p>
                        </w:txbxContent>
                      </wps:txbx>
                      <wps:bodyPr anchor="ctr">
                        <a:prstTxWarp prst="textNoShape">
                          <a:avLst/>
                        </a:prstTxWarp>
                        <a:noAutofit/>
                      </wps:bodyPr>
                    </wps:wsp>
                  </a:graphicData>
                </a:graphic>
              </wp:anchor>
            </w:drawing>
          </mc:Choice>
          <mc:Fallback>
            <w:pict>
              <v:shapetype id="_x0000_t17" coordsize="21600,21600" o:spt="17"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ID="角丸四角形吹き出し 2" path="l-2147483603,-2147483603l-2147483594,-2147483593l-2147483630,0l-2147483618,-2147483610l-2147483628,0l-2147483602,0l-2147483603,-2147483603l-2147483592,-2147483591l-2147483595,-2147483624l-2147483616,-2147483608l-2147483595,-2147483622l-2147483595,-2147483601l-2147483603,-2147483603l-2147483590,-2147483589l-2147483628,-2147483596l-2147483614,-2147483606l-2147483630,-2147483596l-2147483603,-2147483596l-2147483603,-2147483603xe" fillcolor="white" stroked="t" o:allowincell="f" style="position:absolute;margin-left:60pt;margin-top:18pt;width:424.75pt;height:74.85pt;mso-wrap-style:square;v-text-anchor:middle" type="_x0000_t17">
                <v:fill o:detectmouseclick="t" type="solid" color2="black"/>
                <v:stroke color="#ed7d31" weight="28440" joinstyle="miter" endcap="flat"/>
                <v:textbox>
                  <w:txbxContent>
                    <w:p>
                      <w:pPr>
                        <w:pStyle w:val="Style25"/>
                        <w:jc w:val="left"/>
                        <w:rPr>
                          <w:color w:val="000000"/>
                        </w:rPr>
                      </w:pPr>
                      <w:r>
                        <w:rPr>
                          <w:color w:val="000000"/>
                        </w:rPr>
                        <w:t>【注意】新規登録を御希望の私立館のみ、（１）～（７）の項目全てについて宣誓してください。再審査登録を御希望の館につきましては、（７）を削除いただき、（１）～（６）の事項について宣誓をお願いします。</w:t>
                      </w:r>
                    </w:p>
                  </w:txbxContent>
                </v:textbox>
                <w10:wrap type="none"/>
              </v:shape>
            </w:pict>
          </mc:Fallback>
        </mc:AlternateContent>
      </w:r>
    </w:p>
    <w:sectPr w:rsidR="002427D3">
      <w:headerReference w:type="default" r:id="rId6"/>
      <w:pgSz w:w="11906" w:h="16838"/>
      <w:pgMar w:top="1440" w:right="1080" w:bottom="1440" w:left="1080" w:header="851"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47BE" w14:textId="77777777" w:rsidR="0020547B" w:rsidRDefault="0020547B">
      <w:r>
        <w:separator/>
      </w:r>
    </w:p>
  </w:endnote>
  <w:endnote w:type="continuationSeparator" w:id="0">
    <w:p w14:paraId="67600B1E" w14:textId="77777777" w:rsidR="0020547B" w:rsidRDefault="0020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0A69" w14:textId="77777777" w:rsidR="0020547B" w:rsidRDefault="0020547B">
      <w:r>
        <w:separator/>
      </w:r>
    </w:p>
  </w:footnote>
  <w:footnote w:type="continuationSeparator" w:id="0">
    <w:p w14:paraId="13FBC1F0" w14:textId="77777777" w:rsidR="0020547B" w:rsidRDefault="0020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4AEB" w14:textId="1ED256F3" w:rsidR="002427D3" w:rsidRPr="00990488" w:rsidRDefault="00990488">
    <w:pPr>
      <w:pStyle w:val="a4"/>
      <w:jc w:val="right"/>
      <w:rPr>
        <w:rFonts w:ascii="ＭＳ 明朝" w:eastAsia="ＭＳ 明朝" w:hAnsi="ＭＳ 明朝" w:hint="eastAsia"/>
        <w:bdr w:val="single" w:sz="4" w:space="0" w:color="auto"/>
      </w:rPr>
    </w:pPr>
    <w:r w:rsidRPr="00990488">
      <w:rPr>
        <w:rFonts w:ascii="ＭＳ 明朝" w:eastAsia="ＭＳ 明朝" w:hAnsi="ＭＳ 明朝" w:hint="eastAsia"/>
        <w:bdr w:val="single" w:sz="4" w:space="0" w:color="auto"/>
      </w:rPr>
      <w:t>参考様式（宣誓書）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D3"/>
    <w:rsid w:val="0020547B"/>
    <w:rsid w:val="002427D3"/>
    <w:rsid w:val="0099048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7C89A1"/>
  <w15:docId w15:val="{51378EED-04FC-4949-AD81-32618FDF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2C7F4F"/>
  </w:style>
  <w:style w:type="character" w:customStyle="1" w:styleId="a5">
    <w:name w:val="フッター (文字)"/>
    <w:basedOn w:val="a0"/>
    <w:link w:val="a6"/>
    <w:uiPriority w:val="99"/>
    <w:qFormat/>
    <w:rsid w:val="002C7F4F"/>
  </w:style>
  <w:style w:type="character" w:customStyle="1" w:styleId="a7">
    <w:name w:val="吹き出し (文字)"/>
    <w:basedOn w:val="a0"/>
    <w:link w:val="a8"/>
    <w:uiPriority w:val="99"/>
    <w:semiHidden/>
    <w:qFormat/>
    <w:rsid w:val="0092544C"/>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4">
    <w:name w:val="header"/>
    <w:basedOn w:val="a"/>
    <w:link w:val="a3"/>
    <w:uiPriority w:val="99"/>
    <w:unhideWhenUsed/>
    <w:rsid w:val="002C7F4F"/>
    <w:pPr>
      <w:tabs>
        <w:tab w:val="center" w:pos="4252"/>
        <w:tab w:val="right" w:pos="8504"/>
      </w:tabs>
      <w:snapToGrid w:val="0"/>
    </w:pPr>
  </w:style>
  <w:style w:type="paragraph" w:styleId="a6">
    <w:name w:val="footer"/>
    <w:basedOn w:val="a"/>
    <w:link w:val="a5"/>
    <w:uiPriority w:val="99"/>
    <w:unhideWhenUsed/>
    <w:rsid w:val="002C7F4F"/>
    <w:pPr>
      <w:tabs>
        <w:tab w:val="center" w:pos="4252"/>
        <w:tab w:val="right" w:pos="8504"/>
      </w:tabs>
      <w:snapToGrid w:val="0"/>
    </w:pPr>
  </w:style>
  <w:style w:type="paragraph" w:styleId="a8">
    <w:name w:val="Balloon Text"/>
    <w:basedOn w:val="a"/>
    <w:link w:val="a7"/>
    <w:uiPriority w:val="99"/>
    <w:semiHidden/>
    <w:unhideWhenUsed/>
    <w:qFormat/>
    <w:rsid w:val="0092544C"/>
    <w:rPr>
      <w:rFonts w:asciiTheme="majorHAnsi" w:eastAsiaTheme="majorEastAsia" w:hAnsiTheme="majorHAnsi" w:cstheme="majorBidi"/>
      <w:sz w:val="18"/>
      <w:szCs w:val="18"/>
    </w:rPr>
  </w:style>
  <w:style w:type="paragraph" w:customStyle="1" w:styleId="af">
    <w:name w:val="枠の内容"/>
    <w:basedOn w:val="a"/>
    <w:qFormat/>
  </w:style>
  <w:style w:type="table" w:styleId="af0">
    <w:name w:val="Table Grid"/>
    <w:basedOn w:val="a1"/>
    <w:uiPriority w:val="39"/>
    <w:rsid w:val="00AA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1609</TotalTime>
  <Pages>1</Pages>
  <Words>104</Words>
  <Characters>595</Characters>
  <Application>Microsoft Office Word</Application>
  <DocSecurity>0</DocSecurity>
  <Lines>4</Lines>
  <Paragraphs>1</Paragraphs>
  <ScaleCrop>false</ScaleCrop>
  <Company>埼玉県</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篠﨑理子</dc:creator>
  <dc:description/>
  <cp:lastModifiedBy>津田　和樹</cp:lastModifiedBy>
  <cp:revision>38</cp:revision>
  <cp:lastPrinted>2023-05-02T01:05:00Z</cp:lastPrinted>
  <dcterms:created xsi:type="dcterms:W3CDTF">2023-02-14T00:39:00Z</dcterms:created>
  <dcterms:modified xsi:type="dcterms:W3CDTF">2024-01-16T07:48:00Z</dcterms:modified>
  <dc:language>ja-JP</dc:language>
</cp:coreProperties>
</file>